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DEA7" w14:textId="6566019F" w:rsidR="00510CCB" w:rsidRDefault="000111A7" w:rsidP="000111A7">
      <w:r w:rsidRPr="000111A7">
        <w:rPr>
          <w:b/>
          <w:bCs/>
          <w:color w:val="C00000"/>
          <w:sz w:val="30"/>
          <w:szCs w:val="30"/>
        </w:rPr>
        <w:t>What's new in gastroenterology and hepatology</w:t>
      </w:r>
      <w:r w:rsidRPr="000111A7">
        <w:rPr>
          <w:b/>
          <w:bCs/>
          <w:color w:val="C00000"/>
        </w:rPr>
        <w:t xml:space="preserve">    </w:t>
      </w:r>
      <w:r w:rsidRPr="00F448A9">
        <w:rPr>
          <w:b/>
          <w:bCs/>
          <w:color w:val="00B050"/>
          <w:sz w:val="30"/>
          <w:szCs w:val="30"/>
        </w:rPr>
        <w:t>March 2025</w:t>
      </w:r>
    </w:p>
    <w:p w14:paraId="63CECBB2" w14:textId="77777777" w:rsidR="000111A7" w:rsidRPr="000111A7" w:rsidRDefault="000111A7" w:rsidP="000111A7">
      <w:r w:rsidRPr="000111A7">
        <w:rPr>
          <w:b/>
          <w:bCs/>
        </w:rPr>
        <w:t>ENDOSCOPY</w:t>
      </w:r>
    </w:p>
    <w:p w14:paraId="0F69589D" w14:textId="77777777" w:rsidR="000111A7" w:rsidRPr="000111A7" w:rsidRDefault="000111A7" w:rsidP="000111A7">
      <w:r w:rsidRPr="000111A7">
        <w:rPr>
          <w:b/>
          <w:bCs/>
        </w:rPr>
        <w:t>Quality indicators for upper gastrointestinal endoscopy (March 2025)</w:t>
      </w:r>
    </w:p>
    <w:p w14:paraId="5779368E" w14:textId="77777777" w:rsidR="000111A7" w:rsidRPr="000111A7" w:rsidRDefault="000111A7" w:rsidP="000111A7">
      <w:r w:rsidRPr="000111A7">
        <w:t>The American College of Gastroenterology and the American Society for Gastrointestinal Endoscopy have endorsed quality indicators for upper gastrointestinal endoscopy [</w:t>
      </w:r>
      <w:hyperlink r:id="rId4" w:history="1">
        <w:r w:rsidRPr="000111A7">
          <w:rPr>
            <w:rStyle w:val="Hyperlink"/>
          </w:rPr>
          <w:t>1,2</w:t>
        </w:r>
      </w:hyperlink>
      <w:r w:rsidRPr="000111A7">
        <w:t xml:space="preserve">]. The goals of applying quality indicators are to perform high-quality upper endoscopy and improve patient outcomes. The quality measures include confirming an appropriate procedure indication, careful inspection of the gastrointestinal mucosa, and documenting inspection of specific anatomic locations with endoscopic images. </w:t>
      </w:r>
      <w:proofErr w:type="spellStart"/>
      <w:r w:rsidRPr="000111A7">
        <w:t>Postprocedure</w:t>
      </w:r>
      <w:proofErr w:type="spellEnd"/>
      <w:r w:rsidRPr="000111A7">
        <w:t xml:space="preserve"> care includes communicating findings, including follow-up recommendations with patients and referring clinicians. Our approach is consistent with this guidance. (See </w:t>
      </w:r>
      <w:hyperlink r:id="rId5" w:anchor="H82295574" w:history="1">
        <w:r w:rsidRPr="000111A7">
          <w:rPr>
            <w:rStyle w:val="Hyperlink"/>
          </w:rPr>
          <w:t>"Overview of upper gastrointestinal endoscopy (esophagogastroduodenoscopy)", section on 'Quality indicators'</w:t>
        </w:r>
      </w:hyperlink>
      <w:r w:rsidRPr="000111A7">
        <w:t>.)</w:t>
      </w:r>
    </w:p>
    <w:p w14:paraId="52B58E14" w14:textId="77777777" w:rsidR="005413A9" w:rsidRPr="005413A9" w:rsidRDefault="005413A9" w:rsidP="005413A9">
      <w:r w:rsidRPr="005413A9">
        <w:rPr>
          <w:b/>
          <w:bCs/>
        </w:rPr>
        <w:t>PANCREATIC AND BILIARY DISEASE</w:t>
      </w:r>
    </w:p>
    <w:p w14:paraId="1A1886B6" w14:textId="77777777" w:rsidR="005413A9" w:rsidRPr="005413A9" w:rsidRDefault="005413A9" w:rsidP="005413A9">
      <w:r w:rsidRPr="005413A9">
        <w:rPr>
          <w:b/>
          <w:bCs/>
        </w:rPr>
        <w:t>Endoscopic versus surgical treatment of painful chronic pancreatitis with a dilated duct (March 2025)</w:t>
      </w:r>
    </w:p>
    <w:p w14:paraId="39F4A7BE" w14:textId="77777777" w:rsidR="005413A9" w:rsidRPr="005413A9" w:rsidRDefault="005413A9" w:rsidP="005413A9">
      <w:r w:rsidRPr="005413A9">
        <w:t>Painful, chronic pancreatitis characterized by a dilated duct can be treated endoscopically or surgically. In a randomized trial of 88 such patients, early surgery (Puestow, Frey, or Beger procedure) resulted in superior pain relief and patient satisfaction compared with endoscopic treatment at both 18 months and 8 years [</w:t>
      </w:r>
      <w:hyperlink r:id="rId6" w:history="1">
        <w:r w:rsidRPr="005413A9">
          <w:rPr>
            <w:rStyle w:val="Hyperlink"/>
          </w:rPr>
          <w:t>11</w:t>
        </w:r>
      </w:hyperlink>
      <w:r w:rsidRPr="005413A9">
        <w:t>]. Patients who progressed from endoscopy to surgery had worse outcomes than those undergoing early surgery. Given these findings, surgeons and gastroenterologists should work collaboratively in such cases, rather than exhausting nonoperative therapies before considering surgery. (See </w:t>
      </w:r>
      <w:hyperlink r:id="rId7" w:anchor="H1692497325" w:history="1">
        <w:r w:rsidRPr="005413A9">
          <w:rPr>
            <w:rStyle w:val="Hyperlink"/>
          </w:rPr>
          <w:t>"Surgery for chronic pancreatitis", section on 'Endoscopy versus surgery'</w:t>
        </w:r>
      </w:hyperlink>
      <w:r w:rsidRPr="005413A9">
        <w:t>.)</w:t>
      </w:r>
    </w:p>
    <w:p w14:paraId="79D403A1" w14:textId="77777777" w:rsidR="005413A9" w:rsidRPr="005413A9" w:rsidRDefault="005413A9" w:rsidP="005413A9">
      <w:r w:rsidRPr="005413A9">
        <w:rPr>
          <w:b/>
          <w:bCs/>
        </w:rPr>
        <w:t>SMALL BOWEL AND COLONIC DISEASE</w:t>
      </w:r>
    </w:p>
    <w:p w14:paraId="559C2EFF" w14:textId="77777777" w:rsidR="005413A9" w:rsidRPr="005413A9" w:rsidRDefault="005413A9" w:rsidP="005413A9">
      <w:r w:rsidRPr="005413A9">
        <w:rPr>
          <w:b/>
          <w:bCs/>
        </w:rPr>
        <w:t>Vedolizumab for preventing postoperative recurrent Crohn disease (March 2025)</w:t>
      </w:r>
    </w:p>
    <w:p w14:paraId="63C3E20C" w14:textId="77777777" w:rsidR="005413A9" w:rsidRPr="005413A9" w:rsidRDefault="005413A9" w:rsidP="005413A9">
      <w:r w:rsidRPr="005413A9">
        <w:t>Anti-tumor necrosis factor (TNF) therapy is effective for preventing recurrent Crohn disease (CD) following ileocolic resection, but data on other strategies are limited. In a trial comparing </w:t>
      </w:r>
      <w:hyperlink r:id="rId8" w:history="1">
        <w:r w:rsidRPr="005413A9">
          <w:rPr>
            <w:rStyle w:val="Hyperlink"/>
          </w:rPr>
          <w:t>vedolizumab</w:t>
        </w:r>
      </w:hyperlink>
      <w:r w:rsidRPr="005413A9">
        <w:t> with placebo in 84 patients with ileocolic resection for CD and at least one risk factor for recurrence (</w:t>
      </w:r>
      <w:proofErr w:type="spellStart"/>
      <w:r w:rsidRPr="005413A9">
        <w:t>eg</w:t>
      </w:r>
      <w:proofErr w:type="spellEnd"/>
      <w:r w:rsidRPr="005413A9">
        <w:t>, fistulizing disease), vedolizumab resulted in lower rates of both severe endoscopic recurrence (23 versus 62 percent) and any endoscopic recurrence (58 versus 97 percent) after 26 weeks [</w:t>
      </w:r>
      <w:hyperlink r:id="rId9" w:history="1">
        <w:r w:rsidRPr="005413A9">
          <w:rPr>
            <w:rStyle w:val="Hyperlink"/>
          </w:rPr>
          <w:t>12</w:t>
        </w:r>
      </w:hyperlink>
      <w:r w:rsidRPr="005413A9">
        <w:t>]. Rates of serious adverse events were numerically similar in both groups. These data support our approach of using vedolizumab for preventing CD recurrence in patients who do not tolerate or respond to anti-TNF therapy. (See </w:t>
      </w:r>
      <w:hyperlink r:id="rId10" w:anchor="H3540837433" w:history="1">
        <w:r w:rsidRPr="005413A9">
          <w:rPr>
            <w:rStyle w:val="Hyperlink"/>
          </w:rPr>
          <w:t>"Management of Crohn disease after surgical resection", section on 'Other biologics'</w:t>
        </w:r>
      </w:hyperlink>
      <w:r w:rsidRPr="005413A9">
        <w:t>.)</w:t>
      </w:r>
    </w:p>
    <w:sectPr w:rsidR="005413A9" w:rsidRPr="005413A9" w:rsidSect="005413A9">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1A7"/>
    <w:rsid w:val="000111A7"/>
    <w:rsid w:val="000B1565"/>
    <w:rsid w:val="00313F44"/>
    <w:rsid w:val="004B5628"/>
    <w:rsid w:val="00510CCB"/>
    <w:rsid w:val="005413A9"/>
    <w:rsid w:val="008D0060"/>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1502"/>
  <w15:chartTrackingRefBased/>
  <w15:docId w15:val="{3A710D80-542B-44FF-8EFE-CFCFE572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11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11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11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11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111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111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11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11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11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1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11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11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11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11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11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11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11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11A7"/>
    <w:rPr>
      <w:rFonts w:eastAsiaTheme="majorEastAsia" w:cstheme="majorBidi"/>
      <w:color w:val="272727" w:themeColor="text1" w:themeTint="D8"/>
    </w:rPr>
  </w:style>
  <w:style w:type="paragraph" w:styleId="Title">
    <w:name w:val="Title"/>
    <w:basedOn w:val="Normal"/>
    <w:next w:val="Normal"/>
    <w:link w:val="TitleChar"/>
    <w:uiPriority w:val="10"/>
    <w:qFormat/>
    <w:rsid w:val="000111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1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11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11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11A7"/>
    <w:pPr>
      <w:spacing w:before="160"/>
      <w:jc w:val="center"/>
    </w:pPr>
    <w:rPr>
      <w:i/>
      <w:iCs/>
      <w:color w:val="404040" w:themeColor="text1" w:themeTint="BF"/>
    </w:rPr>
  </w:style>
  <w:style w:type="character" w:customStyle="1" w:styleId="QuoteChar">
    <w:name w:val="Quote Char"/>
    <w:basedOn w:val="DefaultParagraphFont"/>
    <w:link w:val="Quote"/>
    <w:uiPriority w:val="29"/>
    <w:rsid w:val="000111A7"/>
    <w:rPr>
      <w:i/>
      <w:iCs/>
      <w:color w:val="404040" w:themeColor="text1" w:themeTint="BF"/>
    </w:rPr>
  </w:style>
  <w:style w:type="paragraph" w:styleId="ListParagraph">
    <w:name w:val="List Paragraph"/>
    <w:basedOn w:val="Normal"/>
    <w:uiPriority w:val="34"/>
    <w:qFormat/>
    <w:rsid w:val="000111A7"/>
    <w:pPr>
      <w:ind w:left="720"/>
      <w:contextualSpacing/>
    </w:pPr>
  </w:style>
  <w:style w:type="character" w:styleId="IntenseEmphasis">
    <w:name w:val="Intense Emphasis"/>
    <w:basedOn w:val="DefaultParagraphFont"/>
    <w:uiPriority w:val="21"/>
    <w:qFormat/>
    <w:rsid w:val="000111A7"/>
    <w:rPr>
      <w:i/>
      <w:iCs/>
      <w:color w:val="2F5496" w:themeColor="accent1" w:themeShade="BF"/>
    </w:rPr>
  </w:style>
  <w:style w:type="paragraph" w:styleId="IntenseQuote">
    <w:name w:val="Intense Quote"/>
    <w:basedOn w:val="Normal"/>
    <w:next w:val="Normal"/>
    <w:link w:val="IntenseQuoteChar"/>
    <w:uiPriority w:val="30"/>
    <w:qFormat/>
    <w:rsid w:val="000111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11A7"/>
    <w:rPr>
      <w:i/>
      <w:iCs/>
      <w:color w:val="2F5496" w:themeColor="accent1" w:themeShade="BF"/>
    </w:rPr>
  </w:style>
  <w:style w:type="character" w:styleId="IntenseReference">
    <w:name w:val="Intense Reference"/>
    <w:basedOn w:val="DefaultParagraphFont"/>
    <w:uiPriority w:val="32"/>
    <w:qFormat/>
    <w:rsid w:val="000111A7"/>
    <w:rPr>
      <w:b/>
      <w:bCs/>
      <w:smallCaps/>
      <w:color w:val="2F5496" w:themeColor="accent1" w:themeShade="BF"/>
      <w:spacing w:val="5"/>
    </w:rPr>
  </w:style>
  <w:style w:type="character" w:styleId="Hyperlink">
    <w:name w:val="Hyperlink"/>
    <w:basedOn w:val="DefaultParagraphFont"/>
    <w:uiPriority w:val="99"/>
    <w:unhideWhenUsed/>
    <w:rsid w:val="000111A7"/>
    <w:rPr>
      <w:color w:val="0563C1" w:themeColor="hyperlink"/>
      <w:u w:val="single"/>
    </w:rPr>
  </w:style>
  <w:style w:type="character" w:styleId="UnresolvedMention">
    <w:name w:val="Unresolved Mention"/>
    <w:basedOn w:val="DefaultParagraphFont"/>
    <w:uiPriority w:val="99"/>
    <w:semiHidden/>
    <w:unhideWhenUsed/>
    <w:rsid w:val="00011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644230">
      <w:bodyDiv w:val="1"/>
      <w:marLeft w:val="0"/>
      <w:marRight w:val="0"/>
      <w:marTop w:val="0"/>
      <w:marBottom w:val="0"/>
      <w:divBdr>
        <w:top w:val="none" w:sz="0" w:space="0" w:color="auto"/>
        <w:left w:val="none" w:sz="0" w:space="0" w:color="auto"/>
        <w:bottom w:val="none" w:sz="0" w:space="0" w:color="auto"/>
        <w:right w:val="none" w:sz="0" w:space="0" w:color="auto"/>
      </w:divBdr>
    </w:div>
    <w:div w:id="939490224">
      <w:bodyDiv w:val="1"/>
      <w:marLeft w:val="0"/>
      <w:marRight w:val="0"/>
      <w:marTop w:val="0"/>
      <w:marBottom w:val="0"/>
      <w:divBdr>
        <w:top w:val="none" w:sz="0" w:space="0" w:color="auto"/>
        <w:left w:val="none" w:sz="0" w:space="0" w:color="auto"/>
        <w:bottom w:val="none" w:sz="0" w:space="0" w:color="auto"/>
        <w:right w:val="none" w:sz="0" w:space="0" w:color="auto"/>
      </w:divBdr>
    </w:div>
    <w:div w:id="1128014929">
      <w:bodyDiv w:val="1"/>
      <w:marLeft w:val="0"/>
      <w:marRight w:val="0"/>
      <w:marTop w:val="0"/>
      <w:marBottom w:val="0"/>
      <w:divBdr>
        <w:top w:val="none" w:sz="0" w:space="0" w:color="auto"/>
        <w:left w:val="none" w:sz="0" w:space="0" w:color="auto"/>
        <w:bottom w:val="none" w:sz="0" w:space="0" w:color="auto"/>
        <w:right w:val="none" w:sz="0" w:space="0" w:color="auto"/>
      </w:divBdr>
    </w:div>
    <w:div w:id="11640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vedolizumab-drug-information?topicRef=8351&amp;source=see_link" TargetMode="External"/><Relationship Id="rId3" Type="http://schemas.openxmlformats.org/officeDocument/2006/relationships/webSettings" Target="webSettings.xml"/><Relationship Id="rId7" Type="http://schemas.openxmlformats.org/officeDocument/2006/relationships/hyperlink" Target="https://www4.utdos.ir/contents/surgery-for-chronic-pancreatitis?sectionName=ENDOSCOPY%20VERSUS%20SURGERY&amp;topicRef=8351&amp;anchor=H1692497325&amp;source=see_lin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4.utdos.ir/contents/whats-new-in-gastroenterology-and-hepatology/abstract/11" TargetMode="External"/><Relationship Id="rId11" Type="http://schemas.openxmlformats.org/officeDocument/2006/relationships/fontTable" Target="fontTable.xml"/><Relationship Id="rId5" Type="http://schemas.openxmlformats.org/officeDocument/2006/relationships/hyperlink" Target="https://www4.utdos.ir/contents/overview-of-upper-gastrointestinal-endoscopy-esophagogastroduodenoscopy?sectionName=QUALITY%20INDICATORS&amp;topicRef=8351&amp;anchor=H82295574&amp;source=see_link" TargetMode="External"/><Relationship Id="rId10" Type="http://schemas.openxmlformats.org/officeDocument/2006/relationships/hyperlink" Target="https://www4.utdos.ir/contents/management-of-crohn-disease-after-surgical-resection?sectionName=Other%20biologics&amp;topicRef=8351&amp;anchor=H3540837433&amp;source=see_link" TargetMode="External"/><Relationship Id="rId4" Type="http://schemas.openxmlformats.org/officeDocument/2006/relationships/hyperlink" Target="https://www4.utdos.ir/contents/whats-new-in-gastroenterology-and-hepatology/abstract/1,2" TargetMode="External"/><Relationship Id="rId9" Type="http://schemas.openxmlformats.org/officeDocument/2006/relationships/hyperlink" Target="https://www4.utdos.ir/contents/whats-new-in-gastroenterology-and-hepatology/abstract/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2025-03-30T06:25:00Z</dcterms:created>
  <dcterms:modified xsi:type="dcterms:W3CDTF">2025-03-30T06:27:00Z</dcterms:modified>
</cp:coreProperties>
</file>